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D45BD9" w:rsidTr="00D45BD9">
        <w:tc>
          <w:tcPr>
            <w:tcW w:w="2357" w:type="dxa"/>
          </w:tcPr>
          <w:p w:rsidR="00D45BD9" w:rsidRDefault="00D45BD9" w:rsidP="00D45BD9"/>
        </w:tc>
        <w:tc>
          <w:tcPr>
            <w:tcW w:w="2357" w:type="dxa"/>
            <w:vAlign w:val="center"/>
          </w:tcPr>
          <w:p w:rsidR="00D45BD9" w:rsidRPr="008D22D6" w:rsidRDefault="00D45BD9" w:rsidP="00D45BD9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fr-BE"/>
              </w:rPr>
            </w:pPr>
            <w:r w:rsidRPr="008D22D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fr-BE"/>
              </w:rPr>
              <w:t>1 Connaissance</w:t>
            </w:r>
          </w:p>
        </w:tc>
        <w:tc>
          <w:tcPr>
            <w:tcW w:w="2357" w:type="dxa"/>
            <w:vAlign w:val="center"/>
          </w:tcPr>
          <w:p w:rsidR="00D45BD9" w:rsidRPr="008D22D6" w:rsidRDefault="00D45BD9" w:rsidP="00D45BD9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fr-BE"/>
              </w:rPr>
            </w:pPr>
            <w:r w:rsidRPr="008D22D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fr-BE"/>
              </w:rPr>
              <w:t>2 Prise de Conscience</w:t>
            </w:r>
          </w:p>
        </w:tc>
        <w:tc>
          <w:tcPr>
            <w:tcW w:w="2357" w:type="dxa"/>
            <w:vAlign w:val="center"/>
          </w:tcPr>
          <w:p w:rsidR="00D45BD9" w:rsidRPr="008D22D6" w:rsidRDefault="00D45BD9" w:rsidP="00D45BD9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fr-BE"/>
              </w:rPr>
            </w:pPr>
            <w:r w:rsidRPr="008D22D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fr-BE"/>
              </w:rPr>
              <w:t>3 Action</w:t>
            </w:r>
          </w:p>
        </w:tc>
        <w:tc>
          <w:tcPr>
            <w:tcW w:w="2358" w:type="dxa"/>
            <w:vAlign w:val="center"/>
          </w:tcPr>
          <w:p w:rsidR="00D45BD9" w:rsidRPr="008D22D6" w:rsidRDefault="00D45BD9" w:rsidP="00D45BD9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fr-BE"/>
              </w:rPr>
            </w:pPr>
            <w:r w:rsidRPr="008D22D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fr-BE"/>
              </w:rPr>
              <w:t>4. Actions Menées à l'échelle requise</w:t>
            </w:r>
          </w:p>
        </w:tc>
        <w:tc>
          <w:tcPr>
            <w:tcW w:w="2358" w:type="dxa"/>
            <w:vAlign w:val="center"/>
          </w:tcPr>
          <w:p w:rsidR="00D45BD9" w:rsidRPr="008D22D6" w:rsidRDefault="00D45BD9" w:rsidP="00D45BD9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fr-BE"/>
              </w:rPr>
            </w:pPr>
            <w:r w:rsidRPr="008D22D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fr-BE"/>
              </w:rPr>
              <w:t xml:space="preserve">5. Façon de vivre </w:t>
            </w:r>
            <w:proofErr w:type="spellStart"/>
            <w:r w:rsidRPr="008D22D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fr-BE"/>
              </w:rPr>
              <w:t>Lifestyle</w:t>
            </w:r>
            <w:proofErr w:type="spellEnd"/>
          </w:p>
        </w:tc>
      </w:tr>
      <w:tr w:rsidR="00D45BD9" w:rsidTr="00D45BD9">
        <w:tc>
          <w:tcPr>
            <w:tcW w:w="2357" w:type="dxa"/>
          </w:tcPr>
          <w:p w:rsidR="00D45BD9" w:rsidRDefault="00D45BD9" w:rsidP="00D45BD9">
            <w:pPr>
              <w:spacing w:before="100" w:beforeAutospacing="1" w:after="100" w:afterAutospacing="1"/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Les faits/ réalités de la vie</w:t>
            </w:r>
          </w:p>
        </w:tc>
        <w:tc>
          <w:tcPr>
            <w:tcW w:w="2357" w:type="dxa"/>
            <w:shd w:val="clear" w:color="auto" w:fill="FF0000"/>
          </w:tcPr>
          <w:p w:rsidR="00D45BD9" w:rsidRDefault="00D45BD9" w:rsidP="00D45BD9"/>
        </w:tc>
        <w:tc>
          <w:tcPr>
            <w:tcW w:w="2357" w:type="dxa"/>
            <w:shd w:val="clear" w:color="auto" w:fill="FF0000"/>
          </w:tcPr>
          <w:p w:rsidR="00D45BD9" w:rsidRDefault="00D45BD9" w:rsidP="00D45BD9"/>
        </w:tc>
        <w:tc>
          <w:tcPr>
            <w:tcW w:w="2357" w:type="dxa"/>
          </w:tcPr>
          <w:p w:rsidR="00D45BD9" w:rsidRDefault="00D45BD9" w:rsidP="00D45BD9"/>
        </w:tc>
        <w:tc>
          <w:tcPr>
            <w:tcW w:w="2358" w:type="dxa"/>
          </w:tcPr>
          <w:p w:rsidR="00D45BD9" w:rsidRDefault="00D45BD9" w:rsidP="00D45BD9"/>
        </w:tc>
        <w:tc>
          <w:tcPr>
            <w:tcW w:w="2358" w:type="dxa"/>
          </w:tcPr>
          <w:p w:rsidR="00D45BD9" w:rsidRDefault="00D45BD9" w:rsidP="00D45BD9"/>
        </w:tc>
      </w:tr>
      <w:tr w:rsidR="00D45BD9" w:rsidTr="00D45BD9"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Reconnaissance et acceptation du paludisme comme étant une maladie</w:t>
            </w:r>
          </w:p>
        </w:tc>
        <w:tc>
          <w:tcPr>
            <w:tcW w:w="2357" w:type="dxa"/>
            <w:shd w:val="clear" w:color="auto" w:fill="FF0000"/>
          </w:tcPr>
          <w:p w:rsidR="00D45BD9" w:rsidRDefault="00D45BD9" w:rsidP="00D45BD9"/>
        </w:tc>
        <w:tc>
          <w:tcPr>
            <w:tcW w:w="2357" w:type="dxa"/>
            <w:shd w:val="clear" w:color="auto" w:fill="FF0000"/>
          </w:tcPr>
          <w:p w:rsidR="00D45BD9" w:rsidRDefault="00D45BD9" w:rsidP="00D45BD9"/>
        </w:tc>
        <w:tc>
          <w:tcPr>
            <w:tcW w:w="2357" w:type="dxa"/>
          </w:tcPr>
          <w:p w:rsidR="00D45BD9" w:rsidRDefault="00D45BD9" w:rsidP="00D45BD9"/>
        </w:tc>
        <w:tc>
          <w:tcPr>
            <w:tcW w:w="2358" w:type="dxa"/>
          </w:tcPr>
          <w:p w:rsidR="00D45BD9" w:rsidRDefault="00D45BD9" w:rsidP="00D45BD9"/>
        </w:tc>
        <w:tc>
          <w:tcPr>
            <w:tcW w:w="2358" w:type="dxa"/>
          </w:tcPr>
          <w:p w:rsidR="00D45BD9" w:rsidRDefault="00D45BD9" w:rsidP="00D45BD9"/>
        </w:tc>
      </w:tr>
      <w:tr w:rsidR="00D45BD9" w:rsidTr="00D45BD9"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Identifier et s'attaquer aux vulnérabilités</w:t>
            </w:r>
          </w:p>
        </w:tc>
        <w:tc>
          <w:tcPr>
            <w:tcW w:w="2357" w:type="dxa"/>
            <w:shd w:val="clear" w:color="auto" w:fill="FF0000"/>
          </w:tcPr>
          <w:p w:rsidR="00D45BD9" w:rsidRDefault="00D45BD9" w:rsidP="00D45BD9"/>
        </w:tc>
        <w:tc>
          <w:tcPr>
            <w:tcW w:w="2357" w:type="dxa"/>
            <w:shd w:val="clear" w:color="auto" w:fill="FF0000"/>
          </w:tcPr>
          <w:p w:rsidR="00D45BD9" w:rsidRDefault="00D45BD9" w:rsidP="00D45BD9"/>
        </w:tc>
        <w:tc>
          <w:tcPr>
            <w:tcW w:w="2357" w:type="dxa"/>
          </w:tcPr>
          <w:p w:rsidR="00D45BD9" w:rsidRDefault="00D45BD9" w:rsidP="00D45BD9"/>
        </w:tc>
        <w:tc>
          <w:tcPr>
            <w:tcW w:w="2358" w:type="dxa"/>
          </w:tcPr>
          <w:p w:rsidR="00D45BD9" w:rsidRDefault="00D45BD9" w:rsidP="00D45BD9"/>
        </w:tc>
        <w:tc>
          <w:tcPr>
            <w:tcW w:w="2358" w:type="dxa"/>
          </w:tcPr>
          <w:p w:rsidR="00D45BD9" w:rsidRDefault="00D45BD9" w:rsidP="00D45BD9"/>
        </w:tc>
      </w:tr>
      <w:tr w:rsidR="00D45BD9" w:rsidTr="00D45BD9"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Accès prompt au traitement adéquat</w:t>
            </w:r>
          </w:p>
        </w:tc>
        <w:tc>
          <w:tcPr>
            <w:tcW w:w="2357" w:type="dxa"/>
            <w:shd w:val="clear" w:color="auto" w:fill="FF0000"/>
          </w:tcPr>
          <w:p w:rsidR="00D45BD9" w:rsidRDefault="00D45BD9" w:rsidP="00D45BD9"/>
        </w:tc>
        <w:tc>
          <w:tcPr>
            <w:tcW w:w="2357" w:type="dxa"/>
            <w:shd w:val="clear" w:color="auto" w:fill="FF0000"/>
          </w:tcPr>
          <w:p w:rsidR="00D45BD9" w:rsidRDefault="00D45BD9" w:rsidP="00D45BD9"/>
        </w:tc>
        <w:tc>
          <w:tcPr>
            <w:tcW w:w="2357" w:type="dxa"/>
            <w:shd w:val="clear" w:color="auto" w:fill="FF0000"/>
          </w:tcPr>
          <w:p w:rsidR="00D45BD9" w:rsidRDefault="00D45BD9" w:rsidP="00D45BD9"/>
        </w:tc>
        <w:tc>
          <w:tcPr>
            <w:tcW w:w="2358" w:type="dxa"/>
          </w:tcPr>
          <w:p w:rsidR="00D45BD9" w:rsidRDefault="00D45BD9" w:rsidP="00D45BD9"/>
        </w:tc>
        <w:tc>
          <w:tcPr>
            <w:tcW w:w="2358" w:type="dxa"/>
          </w:tcPr>
          <w:p w:rsidR="00D45BD9" w:rsidRDefault="00D45BD9" w:rsidP="00D45BD9"/>
        </w:tc>
      </w:tr>
      <w:tr w:rsidR="00D45BD9" w:rsidRPr="00D45BD9" w:rsidTr="00D45BD9">
        <w:tc>
          <w:tcPr>
            <w:tcW w:w="2357" w:type="dxa"/>
            <w:vAlign w:val="center"/>
          </w:tcPr>
          <w:p w:rsidR="00D45BD9" w:rsidRDefault="00D45BD9" w:rsidP="00D45BD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</w:pPr>
          </w:p>
          <w:p w:rsidR="00D45BD9" w:rsidRPr="00D45BD9" w:rsidRDefault="00D45BD9" w:rsidP="00D45BD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BE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Paludisme grave</w:t>
            </w: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</w:tr>
      <w:tr w:rsidR="00D45BD9" w:rsidRPr="00D45BD9" w:rsidTr="00D45BD9">
        <w:tc>
          <w:tcPr>
            <w:tcW w:w="2357" w:type="dxa"/>
            <w:vAlign w:val="center"/>
          </w:tcPr>
          <w:p w:rsidR="00D45BD9" w:rsidRPr="00D45BD9" w:rsidRDefault="00D45BD9" w:rsidP="00D45BD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BE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 xml:space="preserve">Prévention: Moustiquaire </w:t>
            </w: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imprégnée</w:t>
            </w: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 xml:space="preserve"> d'insecticide (MII)</w:t>
            </w: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</w:tr>
      <w:tr w:rsidR="00D45BD9" w:rsidRPr="00D45BD9" w:rsidTr="00D45BD9">
        <w:tc>
          <w:tcPr>
            <w:tcW w:w="2357" w:type="dxa"/>
            <w:vAlign w:val="center"/>
          </w:tcPr>
          <w:p w:rsidR="00D45BD9" w:rsidRPr="00D45BD9" w:rsidRDefault="00D45BD9" w:rsidP="00D45BD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BE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 xml:space="preserve">Prévention; pulvérisation </w:t>
            </w: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intra domiciliaire</w:t>
            </w: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 xml:space="preserve"> (PID)</w:t>
            </w: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</w:tr>
      <w:tr w:rsidR="00D45BD9" w:rsidRPr="00D45BD9" w:rsidTr="00D45BD9">
        <w:tc>
          <w:tcPr>
            <w:tcW w:w="2357" w:type="dxa"/>
            <w:vAlign w:val="center"/>
          </w:tcPr>
          <w:p w:rsidR="00D45BD9" w:rsidRPr="00D45BD9" w:rsidRDefault="00D45BD9" w:rsidP="00D45BD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BE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Prévention</w:t>
            </w: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: Traitement Préventif Intermittent (TPI)</w:t>
            </w: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</w:tr>
      <w:tr w:rsidR="00D45BD9" w:rsidRPr="00D45BD9" w:rsidTr="00D45BD9">
        <w:tc>
          <w:tcPr>
            <w:tcW w:w="2357" w:type="dxa"/>
            <w:vAlign w:val="center"/>
          </w:tcPr>
          <w:p w:rsidR="00D45BD9" w:rsidRPr="00D45BD9" w:rsidRDefault="00D45BD9" w:rsidP="00D45BD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BE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Réponse guidé par une analyse de genre</w:t>
            </w: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</w:tr>
      <w:tr w:rsidR="00D45BD9" w:rsidRPr="00D45BD9" w:rsidTr="00791A79">
        <w:tc>
          <w:tcPr>
            <w:tcW w:w="2357" w:type="dxa"/>
            <w:vAlign w:val="center"/>
          </w:tcPr>
          <w:p w:rsidR="00D45BD9" w:rsidRDefault="00791A79" w:rsidP="00D45BD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Apprentissage</w:t>
            </w:r>
            <w:r w:rsidR="00D45BD9"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 xml:space="preserve"> et transfert de savoir</w:t>
            </w:r>
          </w:p>
          <w:p w:rsidR="00D45BD9" w:rsidRPr="00D45BD9" w:rsidRDefault="00D45BD9" w:rsidP="00D45BD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BE"/>
              </w:rPr>
            </w:pP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</w:tr>
      <w:tr w:rsidR="00D45BD9" w:rsidRPr="00D45BD9" w:rsidTr="00680346">
        <w:tc>
          <w:tcPr>
            <w:tcW w:w="2357" w:type="dxa"/>
            <w:vAlign w:val="center"/>
          </w:tcPr>
          <w:p w:rsidR="00791A79" w:rsidRDefault="00791A79" w:rsidP="00D45BD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</w:pPr>
          </w:p>
          <w:p w:rsidR="00D45BD9" w:rsidRPr="00D45BD9" w:rsidRDefault="00D45BD9" w:rsidP="00D45BD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BE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Mesurer le changement</w:t>
            </w: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</w:tr>
      <w:tr w:rsidR="00D45BD9" w:rsidRPr="00D45BD9" w:rsidTr="00680346">
        <w:tc>
          <w:tcPr>
            <w:tcW w:w="2357" w:type="dxa"/>
            <w:vAlign w:val="center"/>
          </w:tcPr>
          <w:p w:rsidR="00791A79" w:rsidRDefault="00791A79" w:rsidP="00D45BD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</w:pPr>
          </w:p>
          <w:p w:rsidR="00D45BD9" w:rsidRPr="00D45BD9" w:rsidRDefault="00D45BD9" w:rsidP="00D45BD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BE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Adapter notre réponse</w:t>
            </w: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</w:tr>
      <w:tr w:rsidR="00D45BD9" w:rsidRPr="00D45BD9" w:rsidTr="00680346">
        <w:tc>
          <w:tcPr>
            <w:tcW w:w="2357" w:type="dxa"/>
            <w:vAlign w:val="center"/>
          </w:tcPr>
          <w:p w:rsidR="00D45BD9" w:rsidRPr="00D45BD9" w:rsidRDefault="00D45BD9" w:rsidP="00D45BD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BE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Déploiement de nos propres forces les moyens d'exercer nos propres forces</w:t>
            </w: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</w:tr>
      <w:tr w:rsidR="00D45BD9" w:rsidRPr="00D45BD9" w:rsidTr="00680346">
        <w:tc>
          <w:tcPr>
            <w:tcW w:w="2357" w:type="dxa"/>
            <w:vAlign w:val="center"/>
          </w:tcPr>
          <w:p w:rsidR="00791A79" w:rsidRDefault="00791A79" w:rsidP="00D45BD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</w:pPr>
          </w:p>
          <w:p w:rsidR="00D45BD9" w:rsidRPr="00D45BD9" w:rsidRDefault="00D45BD9" w:rsidP="00D45BD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BE"/>
              </w:rPr>
            </w:pPr>
            <w:r w:rsidRPr="00D45B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BE"/>
              </w:rPr>
              <w:t>Mobiliser les ressources</w:t>
            </w: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0000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D45BD9" w:rsidRPr="00D45BD9" w:rsidRDefault="00D45BD9" w:rsidP="00D45BD9">
            <w:pPr>
              <w:rPr>
                <w:sz w:val="24"/>
                <w:szCs w:val="24"/>
              </w:rPr>
            </w:pPr>
          </w:p>
        </w:tc>
      </w:tr>
    </w:tbl>
    <w:p w:rsidR="0080598A" w:rsidRPr="00D45BD9" w:rsidRDefault="0080598A">
      <w:pPr>
        <w:rPr>
          <w:sz w:val="24"/>
          <w:szCs w:val="24"/>
        </w:rPr>
      </w:pPr>
    </w:p>
    <w:sectPr w:rsidR="0080598A" w:rsidRPr="00D45BD9" w:rsidSect="00D45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BD9"/>
    <w:rsid w:val="00680346"/>
    <w:rsid w:val="00791A79"/>
    <w:rsid w:val="0080598A"/>
    <w:rsid w:val="00D4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D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4</cp:revision>
  <dcterms:created xsi:type="dcterms:W3CDTF">2009-04-22T16:28:00Z</dcterms:created>
  <dcterms:modified xsi:type="dcterms:W3CDTF">2009-04-22T16:45:00Z</dcterms:modified>
</cp:coreProperties>
</file>